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D0CF" w14:textId="77777777" w:rsidR="00C06C9D" w:rsidRDefault="00C06C9D" w:rsidP="00C06C9D">
      <w:pPr>
        <w:tabs>
          <w:tab w:val="left" w:pos="6570"/>
        </w:tabs>
      </w:pPr>
      <w:r w:rsidRPr="00C06C9D">
        <w:rPr>
          <w:noProof/>
        </w:rPr>
        <w:drawing>
          <wp:anchor distT="0" distB="0" distL="114300" distR="114300" simplePos="0" relativeHeight="251659264" behindDoc="0" locked="0" layoutInCell="1" allowOverlap="1" wp14:anchorId="21EDEAA3" wp14:editId="3F4F314D">
            <wp:simplePos x="0" y="0"/>
            <wp:positionH relativeFrom="margin">
              <wp:align>right</wp:align>
            </wp:positionH>
            <wp:positionV relativeFrom="margin">
              <wp:align>top</wp:align>
            </wp:positionV>
            <wp:extent cx="1600200" cy="600075"/>
            <wp:effectExtent l="19050" t="0" r="0" b="0"/>
            <wp:wrapSquare wrapText="bothSides"/>
            <wp:docPr id="3" name="Image 0" descr="LOGO%20BIA_quadri%2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0BIA_quadri%20.bmp"/>
                    <pic:cNvPicPr/>
                  </pic:nvPicPr>
                  <pic:blipFill>
                    <a:blip r:embed="rId5" cstate="print"/>
                    <a:stretch>
                      <a:fillRect/>
                    </a:stretch>
                  </pic:blipFill>
                  <pic:spPr>
                    <a:xfrm>
                      <a:off x="0" y="0"/>
                      <a:ext cx="1600200" cy="600075"/>
                    </a:xfrm>
                    <a:prstGeom prst="rect">
                      <a:avLst/>
                    </a:prstGeom>
                  </pic:spPr>
                </pic:pic>
              </a:graphicData>
            </a:graphic>
          </wp:anchor>
        </w:drawing>
      </w:r>
    </w:p>
    <w:p w14:paraId="2A0B6F44" w14:textId="77777777" w:rsidR="00C06C9D" w:rsidRDefault="00C06C9D" w:rsidP="00C06C9D">
      <w:pPr>
        <w:tabs>
          <w:tab w:val="left" w:pos="6570"/>
        </w:tabs>
      </w:pPr>
    </w:p>
    <w:p w14:paraId="13B843EB" w14:textId="77777777" w:rsidR="00C06C9D" w:rsidRDefault="00C06C9D" w:rsidP="00C06C9D">
      <w:pPr>
        <w:pStyle w:val="Default"/>
      </w:pPr>
    </w:p>
    <w:p w14:paraId="1F125B66" w14:textId="280C73A3" w:rsidR="00C06C9D" w:rsidRDefault="00C06C9D" w:rsidP="00C06C9D">
      <w:pPr>
        <w:pStyle w:val="Default"/>
        <w:rPr>
          <w:b/>
          <w:color w:val="4F81BD" w:themeColor="accent1"/>
          <w:sz w:val="36"/>
          <w:szCs w:val="36"/>
        </w:rPr>
      </w:pPr>
      <w:r w:rsidRPr="00C06C9D">
        <w:rPr>
          <w:b/>
          <w:color w:val="4F81BD" w:themeColor="accent1"/>
          <w:sz w:val="36"/>
          <w:szCs w:val="36"/>
        </w:rPr>
        <w:t>Comptes inactifs : êtes-vous concernés ?</w:t>
      </w:r>
    </w:p>
    <w:p w14:paraId="1E492768" w14:textId="77777777" w:rsidR="00C06C9D" w:rsidRPr="00C06C9D" w:rsidRDefault="00C06C9D" w:rsidP="00C06C9D">
      <w:pPr>
        <w:pStyle w:val="Default"/>
        <w:rPr>
          <w:b/>
          <w:color w:val="4F81BD" w:themeColor="accent1"/>
          <w:sz w:val="36"/>
          <w:szCs w:val="36"/>
        </w:rPr>
      </w:pPr>
    </w:p>
    <w:p w14:paraId="777981F7" w14:textId="77777777" w:rsidR="00C06C9D" w:rsidRPr="00C06C9D" w:rsidRDefault="00C06C9D" w:rsidP="00C06C9D">
      <w:pPr>
        <w:tabs>
          <w:tab w:val="left" w:pos="6570"/>
        </w:tabs>
        <w:jc w:val="both"/>
        <w:rPr>
          <w:rFonts w:ascii="Arial" w:hAnsi="Arial" w:cs="Arial"/>
          <w:i/>
          <w:iCs/>
          <w:sz w:val="23"/>
          <w:szCs w:val="23"/>
        </w:rPr>
      </w:pPr>
      <w:r w:rsidRPr="00C06C9D">
        <w:rPr>
          <w:rFonts w:ascii="Arial" w:hAnsi="Arial" w:cs="Arial"/>
          <w:i/>
          <w:iCs/>
          <w:sz w:val="23"/>
          <w:szCs w:val="23"/>
        </w:rPr>
        <w:t>Vous êtes titulaire d’un compte au sein de notre établissement bancaire, nous vous présentons ci-dessous les points clés de la Loi Eckert et vous livrons ses conseils pour éviter que vos comptes soient considérés comme inactif</w:t>
      </w:r>
      <w:r w:rsidR="00D70CA6">
        <w:rPr>
          <w:rFonts w:ascii="Arial" w:hAnsi="Arial" w:cs="Arial"/>
          <w:i/>
          <w:iCs/>
          <w:sz w:val="23"/>
          <w:szCs w:val="23"/>
        </w:rPr>
        <w:t>s.</w:t>
      </w:r>
      <w:r w:rsidRPr="00C06C9D">
        <w:rPr>
          <w:rFonts w:ascii="Arial" w:hAnsi="Arial" w:cs="Arial"/>
          <w:i/>
          <w:iCs/>
          <w:sz w:val="23"/>
          <w:szCs w:val="23"/>
        </w:rPr>
        <w:t xml:space="preserve"> </w:t>
      </w:r>
    </w:p>
    <w:p w14:paraId="0B7BE1FC" w14:textId="77777777" w:rsidR="00C06C9D" w:rsidRDefault="00C06C9D" w:rsidP="00C06C9D">
      <w:pPr>
        <w:tabs>
          <w:tab w:val="left" w:pos="6570"/>
        </w:tabs>
      </w:pPr>
      <w:r>
        <w:rPr>
          <w:noProof/>
          <w:lang w:eastAsia="fr-FR"/>
        </w:rPr>
        <w:drawing>
          <wp:inline distT="0" distB="0" distL="0" distR="0" wp14:anchorId="5C2338C1" wp14:editId="4E451F86">
            <wp:extent cx="6504707" cy="914400"/>
            <wp:effectExtent l="19050" t="0" r="0" b="0"/>
            <wp:docPr id="1"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6" cstate="print"/>
                    <a:srcRect/>
                    <a:stretch>
                      <a:fillRect/>
                    </a:stretch>
                  </pic:blipFill>
                  <pic:spPr bwMode="auto">
                    <a:xfrm>
                      <a:off x="0" y="0"/>
                      <a:ext cx="6506225" cy="914613"/>
                    </a:xfrm>
                    <a:prstGeom prst="rect">
                      <a:avLst/>
                    </a:prstGeom>
                    <a:noFill/>
                    <a:ln w="9525">
                      <a:noFill/>
                      <a:miter lim="800000"/>
                      <a:headEnd/>
                      <a:tailEnd/>
                    </a:ln>
                  </pic:spPr>
                </pic:pic>
              </a:graphicData>
            </a:graphic>
          </wp:inline>
        </w:drawing>
      </w:r>
    </w:p>
    <w:p w14:paraId="2A9940C3" w14:textId="77777777" w:rsidR="00C06C9D" w:rsidRDefault="00C06C9D" w:rsidP="00C06C9D">
      <w:pPr>
        <w:pStyle w:val="Default"/>
        <w:jc w:val="both"/>
        <w:rPr>
          <w:rFonts w:ascii="Arial" w:hAnsi="Arial" w:cs="Arial"/>
          <w:b/>
          <w:color w:val="4F81BD" w:themeColor="accent1"/>
          <w:sz w:val="32"/>
          <w:szCs w:val="32"/>
        </w:rPr>
      </w:pPr>
      <w:r w:rsidRPr="00C06C9D">
        <w:rPr>
          <w:rFonts w:ascii="Arial" w:hAnsi="Arial" w:cs="Arial"/>
          <w:b/>
          <w:color w:val="4F81BD" w:themeColor="accent1"/>
          <w:sz w:val="32"/>
          <w:szCs w:val="32"/>
        </w:rPr>
        <w:t xml:space="preserve">La Loi ECKERT : les points-clés </w:t>
      </w:r>
    </w:p>
    <w:p w14:paraId="545645DD" w14:textId="77777777" w:rsidR="00C06C9D" w:rsidRPr="00C06C9D" w:rsidRDefault="00C06C9D" w:rsidP="00C06C9D">
      <w:pPr>
        <w:pStyle w:val="Default"/>
        <w:jc w:val="both"/>
        <w:rPr>
          <w:rFonts w:ascii="Arial" w:hAnsi="Arial" w:cs="Arial"/>
          <w:b/>
          <w:color w:val="4F81BD" w:themeColor="accent1"/>
          <w:sz w:val="32"/>
          <w:szCs w:val="32"/>
        </w:rPr>
      </w:pPr>
    </w:p>
    <w:p w14:paraId="0CC32500" w14:textId="77777777" w:rsidR="00C06C9D" w:rsidRPr="00C06C9D" w:rsidRDefault="00C06C9D" w:rsidP="00C06C9D">
      <w:pPr>
        <w:tabs>
          <w:tab w:val="left" w:pos="6570"/>
        </w:tabs>
        <w:spacing w:after="0"/>
        <w:jc w:val="both"/>
        <w:rPr>
          <w:rFonts w:ascii="Arial" w:hAnsi="Arial" w:cs="Arial"/>
        </w:rPr>
      </w:pPr>
      <w:r w:rsidRPr="00C06C9D">
        <w:rPr>
          <w:rFonts w:ascii="Arial" w:hAnsi="Arial" w:cs="Arial"/>
        </w:rPr>
        <w:t xml:space="preserve">La loi du 13 juin 2014 dite </w:t>
      </w:r>
      <w:r w:rsidRPr="00C06C9D">
        <w:rPr>
          <w:rFonts w:ascii="Arial" w:hAnsi="Arial" w:cs="Arial"/>
          <w:b/>
          <w:bCs/>
        </w:rPr>
        <w:t>loi «Eckert » relative aux comptes bancaires inactifs et aux contrats d’assurance vie en déshérence est entrée en vigueur le 1er janvier 2016</w:t>
      </w:r>
      <w:r w:rsidRPr="00C06C9D">
        <w:rPr>
          <w:rFonts w:ascii="Arial" w:hAnsi="Arial" w:cs="Arial"/>
        </w:rPr>
        <w:t>.</w:t>
      </w:r>
    </w:p>
    <w:p w14:paraId="356F3230" w14:textId="77777777" w:rsidR="00C06C9D" w:rsidRPr="00C06C9D" w:rsidRDefault="00C06C9D" w:rsidP="00C06C9D">
      <w:pPr>
        <w:pStyle w:val="Default"/>
        <w:jc w:val="both"/>
        <w:rPr>
          <w:rFonts w:ascii="Arial" w:hAnsi="Arial" w:cs="Arial"/>
          <w:sz w:val="22"/>
          <w:szCs w:val="22"/>
        </w:rPr>
      </w:pPr>
    </w:p>
    <w:p w14:paraId="05E53654" w14:textId="77777777" w:rsidR="00367A2A" w:rsidRDefault="00C06C9D" w:rsidP="00C06C9D">
      <w:pPr>
        <w:pStyle w:val="Default"/>
        <w:jc w:val="both"/>
        <w:rPr>
          <w:rFonts w:ascii="Arial" w:hAnsi="Arial" w:cs="Arial"/>
          <w:sz w:val="22"/>
          <w:szCs w:val="22"/>
        </w:rPr>
      </w:pPr>
      <w:r w:rsidRPr="00C06C9D">
        <w:rPr>
          <w:rFonts w:ascii="Arial" w:hAnsi="Arial" w:cs="Arial"/>
          <w:b/>
          <w:bCs/>
          <w:sz w:val="22"/>
          <w:szCs w:val="22"/>
        </w:rPr>
        <w:t xml:space="preserve">Dans le cadre de cette loi, les établissements bancaires sont soumis à de nouvelles obligations concernant la gestion des comptes bancaires inactifs </w:t>
      </w:r>
      <w:r w:rsidRPr="00C06C9D">
        <w:rPr>
          <w:rFonts w:ascii="Arial" w:hAnsi="Arial" w:cs="Arial"/>
          <w:sz w:val="22"/>
          <w:szCs w:val="22"/>
        </w:rPr>
        <w:t xml:space="preserve">: </w:t>
      </w:r>
    </w:p>
    <w:p w14:paraId="4561F4A7" w14:textId="77777777" w:rsidR="00C06C9D" w:rsidRPr="00C06C9D" w:rsidRDefault="00367A2A" w:rsidP="00C06C9D">
      <w:pPr>
        <w:pStyle w:val="Default"/>
        <w:jc w:val="both"/>
        <w:rPr>
          <w:rFonts w:ascii="Arial" w:hAnsi="Arial" w:cs="Arial"/>
          <w:sz w:val="22"/>
          <w:szCs w:val="22"/>
        </w:rPr>
      </w:pPr>
      <w:r>
        <w:rPr>
          <w:rFonts w:ascii="Arial" w:hAnsi="Arial" w:cs="Arial"/>
          <w:sz w:val="22"/>
          <w:szCs w:val="22"/>
        </w:rPr>
        <w:t xml:space="preserve">Désormais la Banque BIA sera tenue de </w:t>
      </w:r>
      <w:r w:rsidR="00C06C9D" w:rsidRPr="00C06C9D">
        <w:rPr>
          <w:rFonts w:ascii="Arial" w:hAnsi="Arial" w:cs="Arial"/>
          <w:sz w:val="22"/>
          <w:szCs w:val="22"/>
        </w:rPr>
        <w:t>recenser</w:t>
      </w:r>
      <w:r>
        <w:rPr>
          <w:rFonts w:ascii="Arial" w:hAnsi="Arial" w:cs="Arial"/>
          <w:sz w:val="22"/>
          <w:szCs w:val="22"/>
        </w:rPr>
        <w:t xml:space="preserve"> annuellement</w:t>
      </w:r>
      <w:r w:rsidR="00C06C9D" w:rsidRPr="00C06C9D">
        <w:rPr>
          <w:rFonts w:ascii="Arial" w:hAnsi="Arial" w:cs="Arial"/>
          <w:sz w:val="22"/>
          <w:szCs w:val="22"/>
        </w:rPr>
        <w:t xml:space="preserve"> les comptes ina</w:t>
      </w:r>
      <w:r>
        <w:rPr>
          <w:rFonts w:ascii="Arial" w:hAnsi="Arial" w:cs="Arial"/>
          <w:sz w:val="22"/>
          <w:szCs w:val="22"/>
        </w:rPr>
        <w:t>ctifs qu’elle détient, de</w:t>
      </w:r>
      <w:r w:rsidR="00C06C9D" w:rsidRPr="00C06C9D">
        <w:rPr>
          <w:rFonts w:ascii="Arial" w:hAnsi="Arial" w:cs="Arial"/>
          <w:sz w:val="22"/>
          <w:szCs w:val="22"/>
        </w:rPr>
        <w:t xml:space="preserve"> vérifier que les titulaires de ces comptes sont toujours en vie en interrogeant le fichier des personnes décédées (issu du registre de l’INSEE) et </w:t>
      </w:r>
      <w:r>
        <w:rPr>
          <w:rFonts w:ascii="Arial" w:hAnsi="Arial" w:cs="Arial"/>
          <w:sz w:val="22"/>
          <w:szCs w:val="22"/>
        </w:rPr>
        <w:t>d’</w:t>
      </w:r>
      <w:r w:rsidR="00C06C9D" w:rsidRPr="00C06C9D">
        <w:rPr>
          <w:rFonts w:ascii="Arial" w:hAnsi="Arial" w:cs="Arial"/>
          <w:sz w:val="22"/>
          <w:szCs w:val="22"/>
        </w:rPr>
        <w:t xml:space="preserve">informer les personnes concernées des conséquences potentielles de cette situation d’inactivité. </w:t>
      </w:r>
    </w:p>
    <w:p w14:paraId="59F39717" w14:textId="77777777" w:rsidR="00C06C9D" w:rsidRPr="00C06C9D" w:rsidRDefault="00C06C9D" w:rsidP="00C06C9D">
      <w:pPr>
        <w:pStyle w:val="Default"/>
        <w:jc w:val="both"/>
        <w:rPr>
          <w:rFonts w:ascii="Arial" w:hAnsi="Arial" w:cs="Arial"/>
          <w:sz w:val="22"/>
          <w:szCs w:val="22"/>
        </w:rPr>
      </w:pPr>
    </w:p>
    <w:p w14:paraId="70F820D3" w14:textId="77777777" w:rsidR="00367A2A" w:rsidRDefault="00C06C9D" w:rsidP="00C06C9D">
      <w:pPr>
        <w:pStyle w:val="Default"/>
        <w:jc w:val="both"/>
        <w:rPr>
          <w:rFonts w:ascii="Arial" w:hAnsi="Arial" w:cs="Arial"/>
          <w:sz w:val="22"/>
          <w:szCs w:val="22"/>
        </w:rPr>
      </w:pPr>
      <w:r w:rsidRPr="00C06C9D">
        <w:rPr>
          <w:rFonts w:ascii="Arial" w:hAnsi="Arial" w:cs="Arial"/>
          <w:sz w:val="22"/>
          <w:szCs w:val="22"/>
        </w:rPr>
        <w:t>En effet, le Loi Eckert prévoit que les comptes bancaires devront être clôturés et les avoirs transférés à la Caisse des Dépôts et Consignations (CDC)</w:t>
      </w:r>
      <w:r w:rsidR="00367A2A">
        <w:rPr>
          <w:rFonts w:ascii="Arial" w:hAnsi="Arial" w:cs="Arial"/>
          <w:sz w:val="22"/>
          <w:szCs w:val="22"/>
        </w:rPr>
        <w:t> :</w:t>
      </w:r>
    </w:p>
    <w:p w14:paraId="7A1025D3" w14:textId="77777777" w:rsidR="00367A2A" w:rsidRDefault="00367A2A" w:rsidP="00C06C9D">
      <w:pPr>
        <w:pStyle w:val="Default"/>
        <w:jc w:val="both"/>
        <w:rPr>
          <w:rFonts w:ascii="Arial" w:hAnsi="Arial" w:cs="Arial"/>
          <w:sz w:val="22"/>
          <w:szCs w:val="22"/>
        </w:rPr>
      </w:pPr>
    </w:p>
    <w:p w14:paraId="58881480" w14:textId="77777777" w:rsidR="00367A2A" w:rsidRDefault="00367A2A" w:rsidP="00367A2A">
      <w:pPr>
        <w:pStyle w:val="Default"/>
        <w:numPr>
          <w:ilvl w:val="0"/>
          <w:numId w:val="2"/>
        </w:numPr>
        <w:jc w:val="both"/>
        <w:rPr>
          <w:rFonts w:ascii="Arial" w:hAnsi="Arial" w:cs="Arial"/>
          <w:sz w:val="22"/>
          <w:szCs w:val="22"/>
        </w:rPr>
      </w:pPr>
      <w:r>
        <w:rPr>
          <w:rFonts w:ascii="Arial" w:hAnsi="Arial" w:cs="Arial"/>
          <w:sz w:val="22"/>
          <w:szCs w:val="22"/>
        </w:rPr>
        <w:t>A</w:t>
      </w:r>
      <w:r w:rsidR="00C06C9D" w:rsidRPr="00C06C9D">
        <w:rPr>
          <w:rFonts w:ascii="Arial" w:hAnsi="Arial" w:cs="Arial"/>
          <w:sz w:val="22"/>
          <w:szCs w:val="22"/>
        </w:rPr>
        <w:t xml:space="preserve">près 10 ans d’inactivité, lorsque le titulaire est vivant, </w:t>
      </w:r>
    </w:p>
    <w:p w14:paraId="77874E49" w14:textId="77777777" w:rsidR="00C06C9D" w:rsidRPr="00C06C9D" w:rsidRDefault="00367A2A" w:rsidP="00367A2A">
      <w:pPr>
        <w:pStyle w:val="Default"/>
        <w:numPr>
          <w:ilvl w:val="0"/>
          <w:numId w:val="2"/>
        </w:numPr>
        <w:jc w:val="both"/>
        <w:rPr>
          <w:rFonts w:ascii="Arial" w:hAnsi="Arial" w:cs="Arial"/>
          <w:sz w:val="22"/>
          <w:szCs w:val="22"/>
        </w:rPr>
      </w:pPr>
      <w:r>
        <w:rPr>
          <w:rFonts w:ascii="Arial" w:hAnsi="Arial" w:cs="Arial"/>
          <w:sz w:val="22"/>
          <w:szCs w:val="22"/>
        </w:rPr>
        <w:t>O</w:t>
      </w:r>
      <w:r w:rsidR="00C06C9D" w:rsidRPr="00C06C9D">
        <w:rPr>
          <w:rFonts w:ascii="Arial" w:hAnsi="Arial" w:cs="Arial"/>
          <w:sz w:val="22"/>
          <w:szCs w:val="22"/>
        </w:rPr>
        <w:t xml:space="preserve">u 3 ans après le décès du titulaire, si aucun ayant-droit ne s’est manifesté. </w:t>
      </w:r>
    </w:p>
    <w:p w14:paraId="1CD333EB" w14:textId="77777777" w:rsidR="00C06C9D" w:rsidRPr="00C06C9D" w:rsidRDefault="00C06C9D" w:rsidP="00C06C9D">
      <w:pPr>
        <w:pStyle w:val="Default"/>
        <w:jc w:val="both"/>
        <w:rPr>
          <w:rFonts w:ascii="Arial" w:hAnsi="Arial" w:cs="Arial"/>
          <w:sz w:val="22"/>
          <w:szCs w:val="22"/>
        </w:rPr>
      </w:pPr>
    </w:p>
    <w:p w14:paraId="6D7B7956" w14:textId="77777777" w:rsidR="00C06C9D" w:rsidRDefault="00C06C9D" w:rsidP="00C06C9D">
      <w:pPr>
        <w:tabs>
          <w:tab w:val="left" w:pos="6570"/>
        </w:tabs>
        <w:jc w:val="both"/>
        <w:rPr>
          <w:rFonts w:ascii="Arial" w:hAnsi="Arial" w:cs="Arial"/>
        </w:rPr>
      </w:pPr>
      <w:r w:rsidRPr="00C06C9D">
        <w:rPr>
          <w:rFonts w:ascii="Arial" w:hAnsi="Arial" w:cs="Arial"/>
        </w:rPr>
        <w:t xml:space="preserve">Les titulaires ou leurs ayants-droit pourront solliciter la restitution de ces sommes auprès de la CDC en se connectant sur le site internet de cette dernière. Il sera ouvert à compter du mois de janvier 2017. </w:t>
      </w:r>
    </w:p>
    <w:p w14:paraId="34EAD693" w14:textId="77777777" w:rsidR="00C06C9D" w:rsidRDefault="00C06C9D" w:rsidP="00C06C9D">
      <w:pPr>
        <w:pStyle w:val="Default"/>
        <w:rPr>
          <w:rFonts w:ascii="Arial" w:hAnsi="Arial" w:cs="Arial"/>
          <w:b/>
          <w:color w:val="4F81BD" w:themeColor="accent1"/>
          <w:sz w:val="32"/>
          <w:szCs w:val="32"/>
        </w:rPr>
      </w:pPr>
      <w:r w:rsidRPr="00C06C9D">
        <w:rPr>
          <w:rFonts w:ascii="Arial" w:hAnsi="Arial" w:cs="Arial"/>
          <w:b/>
          <w:color w:val="4F81BD" w:themeColor="accent1"/>
          <w:sz w:val="32"/>
          <w:szCs w:val="32"/>
        </w:rPr>
        <w:t xml:space="preserve">Qui est concerné ? </w:t>
      </w:r>
    </w:p>
    <w:p w14:paraId="30368278" w14:textId="77777777" w:rsidR="00C06C9D" w:rsidRPr="00C06C9D" w:rsidRDefault="00C06C9D" w:rsidP="00C06C9D">
      <w:pPr>
        <w:pStyle w:val="Default"/>
        <w:rPr>
          <w:rFonts w:ascii="Arial" w:hAnsi="Arial" w:cs="Arial"/>
          <w:b/>
          <w:color w:val="4F81BD" w:themeColor="accent1"/>
          <w:sz w:val="32"/>
          <w:szCs w:val="32"/>
        </w:rPr>
      </w:pPr>
    </w:p>
    <w:p w14:paraId="363810DB" w14:textId="4476BC24" w:rsidR="00C06C9D" w:rsidRDefault="00C06C9D" w:rsidP="00C06C9D">
      <w:pPr>
        <w:pStyle w:val="Default"/>
        <w:jc w:val="both"/>
        <w:rPr>
          <w:rFonts w:ascii="Arial" w:hAnsi="Arial" w:cs="Arial"/>
          <w:sz w:val="22"/>
          <w:szCs w:val="22"/>
        </w:rPr>
      </w:pPr>
      <w:r w:rsidRPr="00C06C9D">
        <w:rPr>
          <w:rFonts w:ascii="Arial" w:hAnsi="Arial" w:cs="Arial"/>
          <w:b/>
          <w:bCs/>
          <w:sz w:val="22"/>
          <w:szCs w:val="22"/>
        </w:rPr>
        <w:t xml:space="preserve">Tous les épargnants détenant un compte en France sont concernés par la loi Eckert, y compris les non-résidents fiscaux. </w:t>
      </w:r>
      <w:r w:rsidRPr="00C06C9D">
        <w:rPr>
          <w:rFonts w:ascii="Arial" w:hAnsi="Arial" w:cs="Arial"/>
          <w:sz w:val="22"/>
          <w:szCs w:val="22"/>
        </w:rPr>
        <w:t xml:space="preserve">Cette règlementation s’applique donc aussi bien aux personnes majeures qu’aux mineurs, aux personnes protégées, aux associations ou aux entreprises. </w:t>
      </w:r>
    </w:p>
    <w:p w14:paraId="1FEB848B" w14:textId="77777777" w:rsidR="00C06C9D" w:rsidRPr="00C06C9D" w:rsidRDefault="00C06C9D" w:rsidP="00C06C9D">
      <w:pPr>
        <w:pStyle w:val="Default"/>
        <w:jc w:val="both"/>
        <w:rPr>
          <w:rFonts w:ascii="Arial" w:hAnsi="Arial" w:cs="Arial"/>
          <w:sz w:val="22"/>
          <w:szCs w:val="22"/>
        </w:rPr>
      </w:pPr>
    </w:p>
    <w:p w14:paraId="294879F3" w14:textId="77777777" w:rsidR="00C06C9D" w:rsidRDefault="00C06C9D" w:rsidP="00C06C9D">
      <w:pPr>
        <w:tabs>
          <w:tab w:val="left" w:pos="6570"/>
        </w:tabs>
        <w:jc w:val="both"/>
        <w:rPr>
          <w:rFonts w:ascii="Arial" w:hAnsi="Arial" w:cs="Arial"/>
          <w:b/>
          <w:bCs/>
        </w:rPr>
      </w:pPr>
      <w:r w:rsidRPr="00C06C9D">
        <w:rPr>
          <w:rFonts w:ascii="Arial" w:hAnsi="Arial" w:cs="Arial"/>
          <w:b/>
          <w:bCs/>
        </w:rPr>
        <w:t xml:space="preserve">De plus, l’inactivité s’apprécie titulaire par titulaire : </w:t>
      </w:r>
      <w:r w:rsidRPr="00C06C9D">
        <w:rPr>
          <w:rFonts w:ascii="Arial" w:hAnsi="Arial" w:cs="Arial"/>
        </w:rPr>
        <w:t>seuls les comptes appartenant au titulaire sont pris en considération pour déterminer l’inactivité</w:t>
      </w:r>
      <w:r w:rsidRPr="00C06C9D">
        <w:rPr>
          <w:rFonts w:ascii="Arial" w:hAnsi="Arial" w:cs="Arial"/>
          <w:b/>
          <w:bCs/>
        </w:rPr>
        <w:t xml:space="preserve">. </w:t>
      </w:r>
    </w:p>
    <w:p w14:paraId="5C7B349F" w14:textId="77777777" w:rsidR="00D70CA6" w:rsidRDefault="00D70CA6" w:rsidP="00C06C9D">
      <w:pPr>
        <w:tabs>
          <w:tab w:val="left" w:pos="6570"/>
        </w:tabs>
        <w:jc w:val="both"/>
        <w:rPr>
          <w:rFonts w:ascii="Arial" w:hAnsi="Arial" w:cs="Arial"/>
          <w:b/>
          <w:bCs/>
        </w:rPr>
      </w:pPr>
    </w:p>
    <w:p w14:paraId="7D9E8D54" w14:textId="77777777" w:rsidR="00D70CA6" w:rsidRDefault="00D70CA6" w:rsidP="00D70CA6">
      <w:pPr>
        <w:pStyle w:val="Default"/>
        <w:rPr>
          <w:rFonts w:ascii="Arial" w:hAnsi="Arial" w:cs="Arial"/>
          <w:b/>
          <w:color w:val="4F81BD" w:themeColor="accent1"/>
          <w:sz w:val="32"/>
          <w:szCs w:val="32"/>
        </w:rPr>
      </w:pPr>
      <w:r w:rsidRPr="00D70CA6">
        <w:rPr>
          <w:rFonts w:ascii="Arial" w:hAnsi="Arial" w:cs="Arial"/>
          <w:b/>
          <w:color w:val="4F81BD" w:themeColor="accent1"/>
          <w:sz w:val="32"/>
          <w:szCs w:val="32"/>
        </w:rPr>
        <w:lastRenderedPageBreak/>
        <w:t xml:space="preserve">Un compte inactif : c’est quoi exactement ? </w:t>
      </w:r>
    </w:p>
    <w:p w14:paraId="46A0B9FD" w14:textId="77777777" w:rsidR="00D70CA6" w:rsidRPr="00D70CA6" w:rsidRDefault="00D70CA6" w:rsidP="00D70CA6">
      <w:pPr>
        <w:pStyle w:val="Default"/>
        <w:rPr>
          <w:rFonts w:ascii="Arial" w:hAnsi="Arial" w:cs="Arial"/>
          <w:b/>
          <w:color w:val="4F81BD" w:themeColor="accent1"/>
          <w:sz w:val="32"/>
          <w:szCs w:val="32"/>
        </w:rPr>
      </w:pPr>
    </w:p>
    <w:p w14:paraId="1F0BFD19" w14:textId="77777777" w:rsidR="00D70CA6" w:rsidRPr="00D70CA6" w:rsidRDefault="00D70CA6" w:rsidP="00D70CA6">
      <w:pPr>
        <w:pStyle w:val="Default"/>
        <w:rPr>
          <w:rFonts w:ascii="Arial" w:hAnsi="Arial" w:cs="Arial"/>
          <w:sz w:val="22"/>
          <w:szCs w:val="22"/>
        </w:rPr>
      </w:pPr>
      <w:r w:rsidRPr="00D70CA6">
        <w:rPr>
          <w:rFonts w:ascii="Arial" w:hAnsi="Arial" w:cs="Arial"/>
          <w:sz w:val="22"/>
          <w:szCs w:val="22"/>
        </w:rPr>
        <w:t xml:space="preserve">La loi Eckert envisage 2 types de situations pour ce compte : </w:t>
      </w:r>
    </w:p>
    <w:p w14:paraId="29F967EC" w14:textId="77777777" w:rsidR="00D70CA6" w:rsidRPr="00D70CA6" w:rsidRDefault="00D70CA6" w:rsidP="00D70CA6">
      <w:pPr>
        <w:pStyle w:val="Default"/>
        <w:rPr>
          <w:rFonts w:ascii="Arial" w:hAnsi="Arial" w:cs="Arial"/>
          <w:sz w:val="22"/>
          <w:szCs w:val="22"/>
        </w:rPr>
      </w:pPr>
    </w:p>
    <w:p w14:paraId="60149948" w14:textId="77777777" w:rsidR="00D70CA6" w:rsidRDefault="00D70CA6" w:rsidP="00B459C4">
      <w:pPr>
        <w:pStyle w:val="Default"/>
        <w:spacing w:after="39"/>
        <w:jc w:val="both"/>
        <w:rPr>
          <w:rFonts w:ascii="Arial" w:hAnsi="Arial" w:cs="Arial"/>
          <w:b/>
          <w:bCs/>
          <w:sz w:val="22"/>
          <w:szCs w:val="22"/>
        </w:rPr>
      </w:pPr>
      <w:r w:rsidRPr="00D70CA6">
        <w:rPr>
          <w:rFonts w:ascii="Arial" w:hAnsi="Arial" w:cs="Arial"/>
          <w:b/>
          <w:sz w:val="22"/>
          <w:szCs w:val="22"/>
          <w:u w:val="single"/>
        </w:rPr>
        <w:t xml:space="preserve">1. </w:t>
      </w:r>
      <w:r w:rsidRPr="00D70CA6">
        <w:rPr>
          <w:rFonts w:ascii="Arial" w:hAnsi="Arial" w:cs="Arial"/>
          <w:b/>
          <w:bCs/>
          <w:sz w:val="22"/>
          <w:szCs w:val="22"/>
          <w:u w:val="single"/>
        </w:rPr>
        <w:t>Vous êtes le titulaire du compte ou vous en êtes le représentant légal ou le mandataire :</w:t>
      </w:r>
      <w:r w:rsidRPr="00D70CA6">
        <w:rPr>
          <w:rFonts w:ascii="Arial" w:hAnsi="Arial" w:cs="Arial"/>
          <w:b/>
          <w:bCs/>
          <w:sz w:val="22"/>
          <w:szCs w:val="22"/>
        </w:rPr>
        <w:t xml:space="preserve"> </w:t>
      </w:r>
    </w:p>
    <w:p w14:paraId="1149431D" w14:textId="77777777" w:rsidR="00AB02E0" w:rsidRDefault="00AB02E0" w:rsidP="00D70CA6">
      <w:pPr>
        <w:pStyle w:val="Default"/>
        <w:spacing w:after="39"/>
        <w:rPr>
          <w:rFonts w:ascii="Arial" w:hAnsi="Arial" w:cs="Arial"/>
          <w:b/>
          <w:bCs/>
          <w:sz w:val="22"/>
          <w:szCs w:val="22"/>
        </w:rPr>
      </w:pPr>
    </w:p>
    <w:p w14:paraId="42A06EDA" w14:textId="77777777" w:rsidR="00D70CA6" w:rsidRDefault="00D70CA6" w:rsidP="00D70CA6">
      <w:pPr>
        <w:pStyle w:val="Default"/>
        <w:spacing w:after="39"/>
        <w:jc w:val="both"/>
        <w:rPr>
          <w:rFonts w:ascii="Arial" w:hAnsi="Arial" w:cs="Arial"/>
          <w:sz w:val="22"/>
          <w:szCs w:val="22"/>
        </w:rPr>
      </w:pPr>
      <w:r>
        <w:rPr>
          <w:rFonts w:ascii="Arial" w:hAnsi="Arial" w:cs="Arial"/>
          <w:sz w:val="22"/>
          <w:szCs w:val="22"/>
        </w:rPr>
        <w:t>L</w:t>
      </w:r>
      <w:r w:rsidRPr="00D70CA6">
        <w:rPr>
          <w:rFonts w:ascii="Arial" w:hAnsi="Arial" w:cs="Arial"/>
          <w:sz w:val="22"/>
          <w:szCs w:val="22"/>
        </w:rPr>
        <w:t xml:space="preserve">e compte courant sera considéré inactif si vous n’avez effectué aucune opération (souscription, versement, retrait…) ou si vous ne vous êtes pas manifesté auprès de la banque pendant 12 mois consécutifs. </w:t>
      </w:r>
    </w:p>
    <w:p w14:paraId="1FC96755" w14:textId="77777777" w:rsidR="00D70CA6" w:rsidRDefault="00D70CA6" w:rsidP="00D70CA6">
      <w:pPr>
        <w:pStyle w:val="Default"/>
        <w:spacing w:after="39"/>
        <w:jc w:val="both"/>
        <w:rPr>
          <w:rFonts w:ascii="Arial" w:hAnsi="Arial" w:cs="Arial"/>
          <w:sz w:val="22"/>
          <w:szCs w:val="22"/>
        </w:rPr>
      </w:pPr>
      <w:r w:rsidRPr="00D70CA6">
        <w:rPr>
          <w:rFonts w:ascii="Arial" w:hAnsi="Arial" w:cs="Arial"/>
          <w:sz w:val="22"/>
          <w:szCs w:val="22"/>
        </w:rPr>
        <w:t xml:space="preserve">Ce délai est porté à 5 ans si ce compte est un produit d’épargne bancaire ou un compte-titres. </w:t>
      </w:r>
    </w:p>
    <w:p w14:paraId="0C8DDBF5" w14:textId="77777777" w:rsidR="00D70CA6" w:rsidRPr="00D70CA6" w:rsidRDefault="00D70CA6" w:rsidP="00D70CA6">
      <w:pPr>
        <w:pStyle w:val="Default"/>
        <w:spacing w:after="39"/>
        <w:rPr>
          <w:rFonts w:ascii="Arial" w:hAnsi="Arial" w:cs="Arial"/>
          <w:sz w:val="22"/>
          <w:szCs w:val="22"/>
        </w:rPr>
      </w:pPr>
    </w:p>
    <w:p w14:paraId="393C02B2" w14:textId="77777777" w:rsidR="00D70CA6" w:rsidRDefault="00D70CA6" w:rsidP="00D70CA6">
      <w:pPr>
        <w:pStyle w:val="Default"/>
        <w:rPr>
          <w:rFonts w:ascii="Arial" w:hAnsi="Arial" w:cs="Arial"/>
          <w:b/>
          <w:bCs/>
          <w:sz w:val="22"/>
          <w:szCs w:val="22"/>
        </w:rPr>
      </w:pPr>
      <w:r w:rsidRPr="00D70CA6">
        <w:rPr>
          <w:rFonts w:ascii="Arial" w:hAnsi="Arial" w:cs="Arial"/>
          <w:sz w:val="22"/>
          <w:szCs w:val="22"/>
          <w:u w:val="single"/>
        </w:rPr>
        <w:t xml:space="preserve">2. </w:t>
      </w:r>
      <w:r w:rsidRPr="00D70CA6">
        <w:rPr>
          <w:rFonts w:ascii="Arial" w:hAnsi="Arial" w:cs="Arial"/>
          <w:b/>
          <w:bCs/>
          <w:sz w:val="22"/>
          <w:szCs w:val="22"/>
          <w:u w:val="single"/>
        </w:rPr>
        <w:t>Vous êtes l’ayant-droit du titulaire décédé</w:t>
      </w:r>
      <w:r w:rsidRPr="00D70CA6">
        <w:rPr>
          <w:rFonts w:ascii="Arial" w:hAnsi="Arial" w:cs="Arial"/>
          <w:b/>
          <w:bCs/>
          <w:sz w:val="22"/>
          <w:szCs w:val="22"/>
        </w:rPr>
        <w:t xml:space="preserve"> : </w:t>
      </w:r>
    </w:p>
    <w:p w14:paraId="4E404573" w14:textId="77777777" w:rsidR="00AB02E0" w:rsidRDefault="00AB02E0" w:rsidP="00D70CA6">
      <w:pPr>
        <w:pStyle w:val="Default"/>
        <w:rPr>
          <w:rFonts w:ascii="Arial" w:hAnsi="Arial" w:cs="Arial"/>
          <w:b/>
          <w:bCs/>
          <w:sz w:val="22"/>
          <w:szCs w:val="22"/>
        </w:rPr>
      </w:pPr>
    </w:p>
    <w:p w14:paraId="12B51E01" w14:textId="77777777" w:rsidR="00D70CA6" w:rsidRDefault="00D70CA6" w:rsidP="00D70CA6">
      <w:pPr>
        <w:pStyle w:val="Default"/>
        <w:jc w:val="both"/>
        <w:rPr>
          <w:rFonts w:ascii="Arial" w:hAnsi="Arial" w:cs="Arial"/>
          <w:sz w:val="22"/>
          <w:szCs w:val="22"/>
        </w:rPr>
      </w:pPr>
      <w:r>
        <w:rPr>
          <w:rFonts w:ascii="Arial" w:hAnsi="Arial" w:cs="Arial"/>
          <w:sz w:val="22"/>
          <w:szCs w:val="22"/>
        </w:rPr>
        <w:t>D</w:t>
      </w:r>
      <w:r w:rsidRPr="00D70CA6">
        <w:rPr>
          <w:rFonts w:ascii="Arial" w:hAnsi="Arial" w:cs="Arial"/>
          <w:sz w:val="22"/>
          <w:szCs w:val="22"/>
        </w:rPr>
        <w:t xml:space="preserve">ans ce cas, vous disposez de 12 mois à compter du décès du titulaire du compte pour vous manifester auprès de la banque et faire valoir vos droits. </w:t>
      </w:r>
    </w:p>
    <w:p w14:paraId="494CBBF1" w14:textId="77777777" w:rsidR="00AB02E0" w:rsidRDefault="00AB02E0" w:rsidP="00D70CA6">
      <w:pPr>
        <w:pStyle w:val="Default"/>
        <w:jc w:val="both"/>
        <w:rPr>
          <w:rFonts w:ascii="Arial" w:hAnsi="Arial" w:cs="Arial"/>
          <w:sz w:val="22"/>
          <w:szCs w:val="22"/>
        </w:rPr>
      </w:pPr>
    </w:p>
    <w:p w14:paraId="1FD2F381" w14:textId="77777777" w:rsidR="00D70CA6" w:rsidRPr="00D70CA6" w:rsidRDefault="00D70CA6" w:rsidP="00D70CA6">
      <w:pPr>
        <w:pStyle w:val="Default"/>
        <w:jc w:val="both"/>
        <w:rPr>
          <w:rFonts w:ascii="Arial" w:hAnsi="Arial" w:cs="Arial"/>
          <w:sz w:val="22"/>
          <w:szCs w:val="22"/>
        </w:rPr>
      </w:pPr>
      <w:r w:rsidRPr="00D70CA6">
        <w:rPr>
          <w:rFonts w:ascii="Arial" w:hAnsi="Arial" w:cs="Arial"/>
          <w:sz w:val="22"/>
          <w:szCs w:val="22"/>
        </w:rPr>
        <w:t xml:space="preserve">Si vous (ou votre notaire) ne vous êtes pas manifesté dans ce délai auprès de la banque qui tient le compte, ce dernier sera considéré comme étant inactif. </w:t>
      </w:r>
    </w:p>
    <w:p w14:paraId="7AD4655D" w14:textId="77777777" w:rsidR="000E3F93" w:rsidRDefault="000E3F93" w:rsidP="00C06C9D">
      <w:pPr>
        <w:tabs>
          <w:tab w:val="left" w:pos="6570"/>
        </w:tabs>
        <w:jc w:val="both"/>
        <w:rPr>
          <w:rFonts w:ascii="Arial" w:hAnsi="Arial" w:cs="Arial"/>
        </w:rPr>
      </w:pPr>
    </w:p>
    <w:p w14:paraId="4141A841" w14:textId="77777777" w:rsidR="00D70CA6" w:rsidRDefault="00D70CA6" w:rsidP="00C06C9D">
      <w:pPr>
        <w:tabs>
          <w:tab w:val="left" w:pos="6570"/>
        </w:tabs>
        <w:jc w:val="both"/>
        <w:rPr>
          <w:rFonts w:ascii="Arial" w:hAnsi="Arial" w:cs="Arial"/>
          <w:b/>
          <w:color w:val="4F81BD" w:themeColor="accent1"/>
          <w:sz w:val="32"/>
          <w:szCs w:val="32"/>
        </w:rPr>
      </w:pPr>
      <w:r w:rsidRPr="00D70CA6">
        <w:rPr>
          <w:rFonts w:ascii="Arial" w:hAnsi="Arial" w:cs="Arial"/>
          <w:b/>
          <w:color w:val="4F81BD" w:themeColor="accent1"/>
          <w:sz w:val="32"/>
          <w:szCs w:val="32"/>
        </w:rPr>
        <w:t>Comment savoir si mon com</w:t>
      </w:r>
      <w:r>
        <w:rPr>
          <w:rFonts w:ascii="Arial" w:hAnsi="Arial" w:cs="Arial"/>
          <w:b/>
          <w:color w:val="4F81BD" w:themeColor="accent1"/>
          <w:sz w:val="32"/>
          <w:szCs w:val="32"/>
        </w:rPr>
        <w:t>pte est identifié comme inactif</w:t>
      </w:r>
      <w:r w:rsidRPr="00D70CA6">
        <w:rPr>
          <w:rFonts w:ascii="Arial" w:hAnsi="Arial" w:cs="Arial"/>
          <w:b/>
          <w:color w:val="4F81BD" w:themeColor="accent1"/>
          <w:sz w:val="32"/>
          <w:szCs w:val="32"/>
        </w:rPr>
        <w:t>?</w:t>
      </w:r>
    </w:p>
    <w:p w14:paraId="0EE0AF0A" w14:textId="77777777" w:rsidR="00D70CA6" w:rsidRDefault="00D70CA6" w:rsidP="00D70CA6">
      <w:pPr>
        <w:tabs>
          <w:tab w:val="left" w:pos="6570"/>
        </w:tabs>
        <w:jc w:val="both"/>
        <w:rPr>
          <w:rFonts w:ascii="Arial" w:hAnsi="Arial" w:cs="Arial"/>
        </w:rPr>
      </w:pPr>
      <w:r w:rsidRPr="00D70CA6">
        <w:rPr>
          <w:rFonts w:ascii="Arial" w:hAnsi="Arial" w:cs="Arial"/>
        </w:rPr>
        <w:t>Dès qu’une situation d’inactivité e</w:t>
      </w:r>
      <w:r>
        <w:rPr>
          <w:rFonts w:ascii="Arial" w:hAnsi="Arial" w:cs="Arial"/>
        </w:rPr>
        <w:t xml:space="preserve">st détectée, la Banque BIA </w:t>
      </w:r>
      <w:r w:rsidRPr="00D70CA6">
        <w:rPr>
          <w:rFonts w:ascii="Arial" w:hAnsi="Arial" w:cs="Arial"/>
        </w:rPr>
        <w:t xml:space="preserve">s’engage à en informer immédiatement par courrier les titulaires de comptes inactifs, ou les héritiers connus si le titulaire est décédé. </w:t>
      </w:r>
    </w:p>
    <w:p w14:paraId="5CA7DBE9" w14:textId="2C170007" w:rsidR="00D70CA6" w:rsidRPr="00D70CA6" w:rsidRDefault="00D70CA6" w:rsidP="00D70CA6">
      <w:pPr>
        <w:tabs>
          <w:tab w:val="left" w:pos="6570"/>
        </w:tabs>
        <w:jc w:val="both"/>
        <w:rPr>
          <w:rFonts w:ascii="Arial" w:hAnsi="Arial" w:cs="Arial"/>
        </w:rPr>
      </w:pPr>
      <w:r>
        <w:rPr>
          <w:rFonts w:ascii="Arial" w:hAnsi="Arial" w:cs="Arial"/>
        </w:rPr>
        <w:t>D</w:t>
      </w:r>
      <w:r w:rsidRPr="00D70CA6">
        <w:rPr>
          <w:rFonts w:ascii="Arial" w:hAnsi="Arial" w:cs="Arial"/>
        </w:rPr>
        <w:t xml:space="preserve">ès que l’un de vos comptes </w:t>
      </w:r>
      <w:r>
        <w:rPr>
          <w:rFonts w:ascii="Arial" w:hAnsi="Arial" w:cs="Arial"/>
        </w:rPr>
        <w:t xml:space="preserve">est éligible </w:t>
      </w:r>
      <w:r w:rsidRPr="00D70CA6">
        <w:rPr>
          <w:rFonts w:ascii="Arial" w:hAnsi="Arial" w:cs="Arial"/>
        </w:rPr>
        <w:t>critères de la loi Eckert,</w:t>
      </w:r>
      <w:r>
        <w:rPr>
          <w:rFonts w:ascii="Arial" w:hAnsi="Arial" w:cs="Arial"/>
        </w:rPr>
        <w:t xml:space="preserve"> un courrier sera adressé par la Banque BIA afin de</w:t>
      </w:r>
      <w:r w:rsidRPr="00D70CA6">
        <w:rPr>
          <w:rFonts w:ascii="Arial" w:hAnsi="Arial" w:cs="Arial"/>
        </w:rPr>
        <w:t xml:space="preserve"> vous manif</w:t>
      </w:r>
      <w:r>
        <w:rPr>
          <w:rFonts w:ascii="Arial" w:hAnsi="Arial" w:cs="Arial"/>
        </w:rPr>
        <w:t>ester auprès de votre gestionnaire de compte</w:t>
      </w:r>
      <w:r w:rsidRPr="00D70CA6">
        <w:rPr>
          <w:rFonts w:ascii="Arial" w:hAnsi="Arial" w:cs="Arial"/>
        </w:rPr>
        <w:t xml:space="preserve">. Cette information sera renouvelée chaque année, tant que ces comptes resteront inactifs. </w:t>
      </w:r>
    </w:p>
    <w:p w14:paraId="2EAC6C36" w14:textId="77777777" w:rsidR="00D70CA6" w:rsidRDefault="00D70CA6" w:rsidP="00D70CA6">
      <w:pPr>
        <w:tabs>
          <w:tab w:val="left" w:pos="6570"/>
        </w:tabs>
        <w:jc w:val="both"/>
        <w:rPr>
          <w:rFonts w:ascii="Arial" w:hAnsi="Arial" w:cs="Arial"/>
        </w:rPr>
      </w:pPr>
      <w:r w:rsidRPr="00D70CA6">
        <w:rPr>
          <w:rFonts w:ascii="Arial" w:hAnsi="Arial" w:cs="Arial"/>
        </w:rPr>
        <w:t xml:space="preserve">Au bout de 10 ans d’inactivité constatée et en l’absence de manifestation du titulaire du compte, de son représentant légal ou de son mandataire, les banques ont l’obligation de clôturer ces comptes inactifs, et de transférer le montant des avoirs auprès de la Caisse des Dépôts et Consignations. </w:t>
      </w:r>
    </w:p>
    <w:p w14:paraId="27C0230B" w14:textId="77777777" w:rsidR="00D70CA6" w:rsidRDefault="00D70CA6" w:rsidP="00D70CA6">
      <w:pPr>
        <w:tabs>
          <w:tab w:val="left" w:pos="6570"/>
        </w:tabs>
        <w:jc w:val="both"/>
        <w:rPr>
          <w:rFonts w:ascii="Arial" w:hAnsi="Arial" w:cs="Arial"/>
        </w:rPr>
      </w:pPr>
      <w:r>
        <w:rPr>
          <w:rFonts w:ascii="Arial" w:hAnsi="Arial" w:cs="Arial"/>
        </w:rPr>
        <w:t>U</w:t>
      </w:r>
      <w:r w:rsidRPr="00D70CA6">
        <w:rPr>
          <w:rFonts w:ascii="Arial" w:hAnsi="Arial" w:cs="Arial"/>
        </w:rPr>
        <w:t>n courrier d’information en recommandé sera adressé aux personnes concernées 6 mois avant cette date d’échéance.</w:t>
      </w:r>
    </w:p>
    <w:p w14:paraId="110D2528" w14:textId="77777777" w:rsidR="00B974E2" w:rsidRDefault="00B974E2" w:rsidP="00B974E2">
      <w:pPr>
        <w:pStyle w:val="Default"/>
        <w:rPr>
          <w:rFonts w:ascii="Arial" w:hAnsi="Arial" w:cs="Arial"/>
          <w:b/>
          <w:color w:val="4F81BD" w:themeColor="accent1"/>
          <w:sz w:val="32"/>
          <w:szCs w:val="32"/>
        </w:rPr>
      </w:pPr>
      <w:r w:rsidRPr="00B974E2">
        <w:rPr>
          <w:rFonts w:ascii="Arial" w:hAnsi="Arial" w:cs="Arial"/>
          <w:b/>
          <w:color w:val="4F81BD" w:themeColor="accent1"/>
          <w:sz w:val="32"/>
          <w:szCs w:val="32"/>
        </w:rPr>
        <w:t xml:space="preserve">Allez-vous me facturer des frais pour compte inactif ? </w:t>
      </w:r>
    </w:p>
    <w:p w14:paraId="40571FEF" w14:textId="77777777" w:rsidR="00B974E2" w:rsidRPr="00B974E2" w:rsidRDefault="00B974E2" w:rsidP="00B974E2">
      <w:pPr>
        <w:pStyle w:val="Default"/>
        <w:rPr>
          <w:rFonts w:ascii="Arial" w:hAnsi="Arial" w:cs="Arial"/>
          <w:b/>
          <w:color w:val="4F81BD" w:themeColor="accent1"/>
          <w:sz w:val="32"/>
          <w:szCs w:val="32"/>
        </w:rPr>
      </w:pPr>
    </w:p>
    <w:p w14:paraId="6970FAB3" w14:textId="77777777" w:rsidR="00B974E2" w:rsidRDefault="00B974E2" w:rsidP="00B974E2">
      <w:pPr>
        <w:tabs>
          <w:tab w:val="left" w:pos="6570"/>
        </w:tabs>
        <w:jc w:val="both"/>
        <w:rPr>
          <w:rFonts w:ascii="Arial" w:hAnsi="Arial" w:cs="Arial"/>
        </w:rPr>
      </w:pPr>
      <w:r w:rsidRPr="00B974E2">
        <w:rPr>
          <w:rFonts w:ascii="Arial" w:hAnsi="Arial" w:cs="Arial"/>
        </w:rPr>
        <w:t>La Loi Eckert encadre les conditions de facturation liée à la gestion des comptes inactifs.</w:t>
      </w:r>
      <w:r>
        <w:rPr>
          <w:rFonts w:ascii="Arial" w:hAnsi="Arial" w:cs="Arial"/>
        </w:rPr>
        <w:t xml:space="preserve"> </w:t>
      </w:r>
    </w:p>
    <w:p w14:paraId="2E4E8DEE" w14:textId="77777777" w:rsidR="00B974E2" w:rsidRPr="00B974E2" w:rsidRDefault="00B974E2" w:rsidP="00B974E2">
      <w:pPr>
        <w:tabs>
          <w:tab w:val="left" w:pos="6570"/>
        </w:tabs>
        <w:jc w:val="both"/>
        <w:rPr>
          <w:rFonts w:ascii="Arial" w:hAnsi="Arial" w:cs="Arial"/>
        </w:rPr>
      </w:pPr>
      <w:r>
        <w:rPr>
          <w:rFonts w:ascii="Arial" w:hAnsi="Arial" w:cs="Arial"/>
        </w:rPr>
        <w:t>T</w:t>
      </w:r>
      <w:r w:rsidRPr="00B974E2">
        <w:rPr>
          <w:rFonts w:ascii="Arial" w:hAnsi="Arial" w:cs="Arial"/>
        </w:rPr>
        <w:t>oute facturation liée à la gestion des comptes co</w:t>
      </w:r>
      <w:r>
        <w:rPr>
          <w:rFonts w:ascii="Arial" w:hAnsi="Arial" w:cs="Arial"/>
        </w:rPr>
        <w:t>urants et des comptes d’épargne</w:t>
      </w:r>
      <w:r w:rsidRPr="00B974E2">
        <w:rPr>
          <w:rFonts w:ascii="Arial" w:hAnsi="Arial" w:cs="Arial"/>
        </w:rPr>
        <w:t xml:space="preserve"> inactifs</w:t>
      </w:r>
      <w:r>
        <w:rPr>
          <w:rFonts w:ascii="Arial" w:hAnsi="Arial" w:cs="Arial"/>
        </w:rPr>
        <w:t xml:space="preserve"> est de </w:t>
      </w:r>
      <w:r w:rsidRPr="00B974E2">
        <w:rPr>
          <w:rFonts w:ascii="Arial" w:hAnsi="Arial" w:cs="Arial"/>
        </w:rPr>
        <w:t xml:space="preserve">30 € par an et par compte. </w:t>
      </w:r>
    </w:p>
    <w:p w14:paraId="16A7A254" w14:textId="77777777" w:rsidR="00B974E2" w:rsidRPr="00B974E2" w:rsidRDefault="00B974E2" w:rsidP="00B974E2">
      <w:pPr>
        <w:tabs>
          <w:tab w:val="left" w:pos="6570"/>
        </w:tabs>
        <w:jc w:val="both"/>
        <w:rPr>
          <w:rFonts w:ascii="Arial" w:hAnsi="Arial" w:cs="Arial"/>
        </w:rPr>
      </w:pPr>
      <w:r w:rsidRPr="00B974E2">
        <w:rPr>
          <w:rFonts w:ascii="Arial" w:hAnsi="Arial" w:cs="Arial"/>
        </w:rPr>
        <w:t>Ces frais seront prélevés</w:t>
      </w:r>
      <w:r>
        <w:rPr>
          <w:rFonts w:ascii="Arial" w:hAnsi="Arial" w:cs="Arial"/>
        </w:rPr>
        <w:t xml:space="preserve">, s’il y a lieu, à terme échu </w:t>
      </w:r>
      <w:r w:rsidRPr="00B974E2">
        <w:rPr>
          <w:rFonts w:ascii="Arial" w:hAnsi="Arial" w:cs="Arial"/>
        </w:rPr>
        <w:t xml:space="preserve">c’est-à-dire 12 mois après le 1er constat de l’inactivité. </w:t>
      </w:r>
    </w:p>
    <w:p w14:paraId="380B3334" w14:textId="77777777" w:rsidR="00B974E2" w:rsidRPr="00B974E2" w:rsidRDefault="00B974E2" w:rsidP="00B974E2">
      <w:pPr>
        <w:pStyle w:val="Default"/>
        <w:rPr>
          <w:rFonts w:ascii="Arial" w:hAnsi="Arial" w:cs="Arial"/>
          <w:b/>
          <w:color w:val="4F81BD" w:themeColor="accent1"/>
          <w:sz w:val="32"/>
          <w:szCs w:val="32"/>
        </w:rPr>
      </w:pPr>
      <w:r w:rsidRPr="00B974E2">
        <w:rPr>
          <w:rFonts w:ascii="Arial" w:hAnsi="Arial" w:cs="Arial"/>
          <w:b/>
          <w:color w:val="4F81BD" w:themeColor="accent1"/>
          <w:sz w:val="32"/>
          <w:szCs w:val="32"/>
        </w:rPr>
        <w:lastRenderedPageBreak/>
        <w:t xml:space="preserve">Concrètement que dois-je faire pour réactiver un compte inactif ? </w:t>
      </w:r>
    </w:p>
    <w:p w14:paraId="20B81EB2" w14:textId="77777777" w:rsidR="00B974E2" w:rsidRDefault="00B974E2" w:rsidP="00B974E2">
      <w:pPr>
        <w:pStyle w:val="Default"/>
        <w:rPr>
          <w:sz w:val="32"/>
          <w:szCs w:val="32"/>
        </w:rPr>
      </w:pPr>
    </w:p>
    <w:p w14:paraId="527E4D1B" w14:textId="77777777" w:rsidR="00B974E2" w:rsidRPr="006B1B0E" w:rsidRDefault="00B974E2" w:rsidP="006B1B0E">
      <w:pPr>
        <w:tabs>
          <w:tab w:val="left" w:pos="6570"/>
        </w:tabs>
        <w:jc w:val="both"/>
        <w:rPr>
          <w:rFonts w:ascii="Arial" w:hAnsi="Arial" w:cs="Arial"/>
        </w:rPr>
      </w:pPr>
      <w:r w:rsidRPr="00B974E2">
        <w:rPr>
          <w:rFonts w:ascii="Arial" w:hAnsi="Arial" w:cs="Arial"/>
        </w:rPr>
        <w:t>Pour éviter la clôture de votre compte inactif et interrompre le processus règlementaire nous devons enregistrer une manifestation de votre part.</w:t>
      </w:r>
    </w:p>
    <w:p w14:paraId="5260F8B9" w14:textId="77777777" w:rsidR="00B974E2" w:rsidRDefault="00B974E2" w:rsidP="00B974E2">
      <w:pPr>
        <w:pStyle w:val="Paragraphedeliste"/>
        <w:numPr>
          <w:ilvl w:val="0"/>
          <w:numId w:val="1"/>
        </w:numPr>
        <w:autoSpaceDE w:val="0"/>
        <w:autoSpaceDN w:val="0"/>
        <w:adjustRightInd w:val="0"/>
        <w:spacing w:after="51" w:line="240" w:lineRule="auto"/>
        <w:ind w:left="0" w:hanging="11"/>
        <w:rPr>
          <w:rFonts w:ascii="Arial" w:hAnsi="Arial" w:cs="Arial"/>
          <w:color w:val="000000"/>
        </w:rPr>
      </w:pPr>
      <w:r w:rsidRPr="00B974E2">
        <w:rPr>
          <w:rFonts w:ascii="Arial" w:hAnsi="Arial" w:cs="Arial"/>
          <w:b/>
          <w:bCs/>
          <w:color w:val="000000"/>
        </w:rPr>
        <w:t xml:space="preserve">Il suffit ou d’effectuer une opération </w:t>
      </w:r>
      <w:r w:rsidRPr="00B974E2">
        <w:rPr>
          <w:rFonts w:ascii="Arial" w:hAnsi="Arial" w:cs="Arial"/>
          <w:color w:val="000000"/>
        </w:rPr>
        <w:t xml:space="preserve">(versement, remise de chèques…) sur l’un de vos comptes. </w:t>
      </w:r>
    </w:p>
    <w:p w14:paraId="6D32AAF8" w14:textId="77777777" w:rsidR="00B974E2" w:rsidRPr="00B974E2" w:rsidRDefault="00B974E2" w:rsidP="00B974E2">
      <w:pPr>
        <w:pStyle w:val="Paragraphedeliste"/>
        <w:autoSpaceDE w:val="0"/>
        <w:autoSpaceDN w:val="0"/>
        <w:adjustRightInd w:val="0"/>
        <w:spacing w:after="51" w:line="240" w:lineRule="auto"/>
        <w:ind w:left="0"/>
        <w:rPr>
          <w:rFonts w:ascii="Arial" w:hAnsi="Arial" w:cs="Arial"/>
          <w:color w:val="000000"/>
        </w:rPr>
      </w:pPr>
    </w:p>
    <w:p w14:paraId="4BD5DD29" w14:textId="77777777" w:rsidR="00B974E2" w:rsidRPr="00B974E2" w:rsidRDefault="00B974E2" w:rsidP="00B974E2">
      <w:pPr>
        <w:pStyle w:val="Paragraphedeliste"/>
        <w:numPr>
          <w:ilvl w:val="0"/>
          <w:numId w:val="1"/>
        </w:numPr>
        <w:tabs>
          <w:tab w:val="left" w:pos="709"/>
        </w:tabs>
        <w:autoSpaceDE w:val="0"/>
        <w:autoSpaceDN w:val="0"/>
        <w:adjustRightInd w:val="0"/>
        <w:spacing w:after="0" w:line="240" w:lineRule="auto"/>
        <w:ind w:left="0" w:hanging="11"/>
        <w:jc w:val="both"/>
        <w:rPr>
          <w:rFonts w:ascii="Arial" w:hAnsi="Arial" w:cs="Arial"/>
          <w:color w:val="000000"/>
        </w:rPr>
      </w:pPr>
      <w:r w:rsidRPr="00B974E2">
        <w:rPr>
          <w:rFonts w:ascii="Arial" w:hAnsi="Arial" w:cs="Arial"/>
          <w:b/>
          <w:bCs/>
          <w:color w:val="000000"/>
        </w:rPr>
        <w:t xml:space="preserve">Vous êtes ayant droit d’un titulaire décédé ? </w:t>
      </w:r>
      <w:r w:rsidRPr="00B974E2">
        <w:rPr>
          <w:rFonts w:ascii="Arial" w:hAnsi="Arial" w:cs="Arial"/>
          <w:color w:val="000000"/>
        </w:rPr>
        <w:t xml:space="preserve">Dans ce cas, il suffit de nous contacter par écrit </w:t>
      </w:r>
      <w:r>
        <w:rPr>
          <w:rFonts w:ascii="Arial" w:hAnsi="Arial" w:cs="Arial"/>
          <w:color w:val="000000"/>
        </w:rPr>
        <w:t xml:space="preserve">votre gestionnaire de compte </w:t>
      </w:r>
      <w:r w:rsidRPr="00B974E2">
        <w:rPr>
          <w:rFonts w:ascii="Arial" w:hAnsi="Arial" w:cs="Arial"/>
          <w:color w:val="000000"/>
        </w:rPr>
        <w:t>en joignant les justificatifs liés à votre qualité d’héritier (acte de décès du titulaire, certificat d’hérédité…).</w:t>
      </w:r>
    </w:p>
    <w:p w14:paraId="66924B7A" w14:textId="77777777" w:rsidR="00B974E2" w:rsidRPr="00B974E2" w:rsidRDefault="00B974E2" w:rsidP="00B974E2">
      <w:pPr>
        <w:tabs>
          <w:tab w:val="left" w:pos="6570"/>
        </w:tabs>
        <w:jc w:val="both"/>
        <w:rPr>
          <w:rFonts w:ascii="Arial" w:hAnsi="Arial" w:cs="Arial"/>
          <w:color w:val="4F81BD" w:themeColor="accent1"/>
        </w:rPr>
      </w:pPr>
    </w:p>
    <w:p w14:paraId="15668281" w14:textId="77777777" w:rsidR="00B974E2" w:rsidRPr="00B974E2" w:rsidRDefault="00B974E2" w:rsidP="00B974E2">
      <w:pPr>
        <w:pStyle w:val="Default"/>
        <w:rPr>
          <w:rFonts w:ascii="Arial" w:hAnsi="Arial" w:cs="Arial"/>
          <w:b/>
          <w:color w:val="4F81BD" w:themeColor="accent1"/>
          <w:sz w:val="32"/>
          <w:szCs w:val="32"/>
        </w:rPr>
      </w:pPr>
      <w:r w:rsidRPr="00B974E2">
        <w:rPr>
          <w:rFonts w:ascii="Arial" w:hAnsi="Arial" w:cs="Arial"/>
          <w:b/>
          <w:color w:val="4F81BD" w:themeColor="accent1"/>
          <w:sz w:val="32"/>
          <w:szCs w:val="32"/>
        </w:rPr>
        <w:t xml:space="preserve">Que se passe-t-il si je réagis trop tard ? </w:t>
      </w:r>
    </w:p>
    <w:p w14:paraId="18A95A05" w14:textId="77777777" w:rsidR="00B974E2" w:rsidRDefault="00B974E2" w:rsidP="00B974E2">
      <w:pPr>
        <w:pStyle w:val="Default"/>
        <w:rPr>
          <w:sz w:val="32"/>
          <w:szCs w:val="32"/>
        </w:rPr>
      </w:pPr>
    </w:p>
    <w:p w14:paraId="33EF2C69" w14:textId="77777777" w:rsidR="00B974E2" w:rsidRPr="00B974E2" w:rsidRDefault="00B974E2" w:rsidP="00B974E2">
      <w:pPr>
        <w:pStyle w:val="Default"/>
        <w:jc w:val="both"/>
        <w:rPr>
          <w:rFonts w:ascii="Arial" w:hAnsi="Arial" w:cs="Arial"/>
          <w:sz w:val="22"/>
          <w:szCs w:val="22"/>
        </w:rPr>
      </w:pPr>
      <w:r w:rsidRPr="00B974E2">
        <w:rPr>
          <w:rFonts w:ascii="Arial" w:hAnsi="Arial" w:cs="Arial"/>
          <w:sz w:val="22"/>
          <w:szCs w:val="22"/>
        </w:rPr>
        <w:t xml:space="preserve">Sans manifestation de votre part avant l’échéance prévue par la loi (délai de 10 ans, ramené à 3 ans dans le cas où le titulaire est décédé), la Banque BIA sera tenue de clôturer votre compte et de transférer vos avoirs à la Caisse des Dépôts et Consignations qui deviendra  votre seul interlocuteur. </w:t>
      </w:r>
    </w:p>
    <w:p w14:paraId="798793A1" w14:textId="77777777" w:rsidR="00B974E2" w:rsidRDefault="00B974E2" w:rsidP="00B974E2">
      <w:pPr>
        <w:pStyle w:val="Default"/>
        <w:rPr>
          <w:sz w:val="22"/>
          <w:szCs w:val="22"/>
        </w:rPr>
      </w:pPr>
    </w:p>
    <w:p w14:paraId="61377F5F" w14:textId="77777777" w:rsidR="00B974E2" w:rsidRPr="00B974E2" w:rsidRDefault="00B974E2" w:rsidP="00B974E2">
      <w:pPr>
        <w:pStyle w:val="Default"/>
        <w:rPr>
          <w:rFonts w:ascii="Arial" w:hAnsi="Arial" w:cs="Arial"/>
          <w:b/>
          <w:color w:val="4F81BD" w:themeColor="accent1"/>
          <w:sz w:val="32"/>
          <w:szCs w:val="32"/>
        </w:rPr>
      </w:pPr>
      <w:r w:rsidRPr="00B974E2">
        <w:rPr>
          <w:rFonts w:ascii="Arial" w:hAnsi="Arial" w:cs="Arial"/>
          <w:b/>
          <w:color w:val="4F81BD" w:themeColor="accent1"/>
          <w:sz w:val="32"/>
          <w:szCs w:val="32"/>
        </w:rPr>
        <w:t xml:space="preserve">Que dois-je faire pour récupérer mes fonds transférés à la CDC ? </w:t>
      </w:r>
    </w:p>
    <w:p w14:paraId="291E5154" w14:textId="77777777" w:rsidR="00B974E2" w:rsidRDefault="00B974E2" w:rsidP="00B974E2">
      <w:pPr>
        <w:pStyle w:val="Default"/>
        <w:jc w:val="both"/>
        <w:rPr>
          <w:sz w:val="32"/>
          <w:szCs w:val="32"/>
        </w:rPr>
      </w:pPr>
    </w:p>
    <w:p w14:paraId="0B22D9FD" w14:textId="77777777" w:rsidR="00B974E2" w:rsidRPr="00B974E2" w:rsidRDefault="00B974E2" w:rsidP="00B974E2">
      <w:pPr>
        <w:pStyle w:val="Default"/>
        <w:jc w:val="both"/>
        <w:rPr>
          <w:rFonts w:ascii="Arial" w:hAnsi="Arial" w:cs="Arial"/>
          <w:sz w:val="22"/>
          <w:szCs w:val="22"/>
        </w:rPr>
      </w:pPr>
      <w:r w:rsidRPr="00B974E2">
        <w:rPr>
          <w:rFonts w:ascii="Arial" w:hAnsi="Arial" w:cs="Arial"/>
          <w:sz w:val="22"/>
          <w:szCs w:val="22"/>
        </w:rPr>
        <w:t xml:space="preserve">La loi Eckert prévoit la possibilité de demander la restitution des fonds une fois que ceux-ci ont été transférés à la Caisse des Dépôts et Consignations. </w:t>
      </w:r>
    </w:p>
    <w:p w14:paraId="5311638D" w14:textId="77777777" w:rsidR="00B974E2" w:rsidRPr="00B974E2" w:rsidRDefault="00B974E2" w:rsidP="00B974E2">
      <w:pPr>
        <w:pStyle w:val="Default"/>
        <w:jc w:val="both"/>
        <w:rPr>
          <w:rFonts w:ascii="Arial" w:hAnsi="Arial" w:cs="Arial"/>
          <w:sz w:val="22"/>
          <w:szCs w:val="22"/>
        </w:rPr>
      </w:pPr>
    </w:p>
    <w:p w14:paraId="5D24EB3E" w14:textId="77777777" w:rsidR="00B974E2" w:rsidRPr="00B974E2" w:rsidRDefault="00B974E2" w:rsidP="00B974E2">
      <w:pPr>
        <w:pStyle w:val="Default"/>
        <w:jc w:val="both"/>
        <w:rPr>
          <w:rFonts w:ascii="Arial" w:hAnsi="Arial" w:cs="Arial"/>
          <w:sz w:val="22"/>
          <w:szCs w:val="22"/>
        </w:rPr>
      </w:pPr>
      <w:r w:rsidRPr="00B974E2">
        <w:rPr>
          <w:rFonts w:ascii="Arial" w:hAnsi="Arial" w:cs="Arial"/>
          <w:sz w:val="22"/>
          <w:szCs w:val="22"/>
        </w:rPr>
        <w:t xml:space="preserve">Pour simplifier les démarches de recherche et demander la restitution des sommes transférées à la CDC, cette dernière mettra à disposition du grand public un site de recherche en ligne à partir de janvier 2017. </w:t>
      </w:r>
    </w:p>
    <w:p w14:paraId="6C618D40" w14:textId="77777777" w:rsidR="00B974E2" w:rsidRPr="00B974E2" w:rsidRDefault="00B974E2" w:rsidP="00B974E2">
      <w:pPr>
        <w:pStyle w:val="Default"/>
        <w:jc w:val="both"/>
        <w:rPr>
          <w:rFonts w:ascii="Arial" w:hAnsi="Arial" w:cs="Arial"/>
          <w:sz w:val="22"/>
          <w:szCs w:val="22"/>
        </w:rPr>
      </w:pPr>
    </w:p>
    <w:p w14:paraId="7574C762" w14:textId="77777777" w:rsidR="00B974E2" w:rsidRPr="00B974E2" w:rsidRDefault="00B974E2" w:rsidP="00B974E2">
      <w:pPr>
        <w:pStyle w:val="Default"/>
        <w:jc w:val="both"/>
        <w:rPr>
          <w:rFonts w:ascii="Arial" w:hAnsi="Arial" w:cs="Arial"/>
          <w:sz w:val="22"/>
          <w:szCs w:val="22"/>
        </w:rPr>
      </w:pPr>
      <w:r w:rsidRPr="00B974E2">
        <w:rPr>
          <w:rFonts w:ascii="Arial" w:hAnsi="Arial" w:cs="Arial"/>
          <w:sz w:val="22"/>
          <w:szCs w:val="22"/>
        </w:rPr>
        <w:t xml:space="preserve">Les délais pour récupérer les avoirs diffèrent selon que le titulaire est vivant ou décédé. </w:t>
      </w:r>
    </w:p>
    <w:p w14:paraId="1C11F39D" w14:textId="77777777" w:rsidR="00B974E2" w:rsidRPr="00B974E2" w:rsidRDefault="00B974E2" w:rsidP="00B974E2">
      <w:pPr>
        <w:pStyle w:val="Default"/>
        <w:jc w:val="both"/>
        <w:rPr>
          <w:rFonts w:ascii="Arial" w:hAnsi="Arial" w:cs="Arial"/>
          <w:sz w:val="22"/>
          <w:szCs w:val="22"/>
        </w:rPr>
      </w:pPr>
    </w:p>
    <w:p w14:paraId="77BB8EFF" w14:textId="77777777" w:rsidR="00B974E2" w:rsidRPr="00B974E2" w:rsidRDefault="00B974E2" w:rsidP="00B974E2">
      <w:pPr>
        <w:pStyle w:val="Default"/>
        <w:spacing w:after="39"/>
        <w:jc w:val="both"/>
        <w:rPr>
          <w:rFonts w:ascii="Arial" w:hAnsi="Arial" w:cs="Arial"/>
          <w:sz w:val="22"/>
          <w:szCs w:val="22"/>
        </w:rPr>
      </w:pPr>
      <w:r w:rsidRPr="00B974E2">
        <w:rPr>
          <w:rFonts w:ascii="Arial" w:hAnsi="Arial" w:cs="Arial"/>
          <w:sz w:val="22"/>
          <w:szCs w:val="22"/>
        </w:rPr>
        <w:t xml:space="preserve">1. </w:t>
      </w:r>
      <w:r w:rsidRPr="00B974E2">
        <w:rPr>
          <w:rFonts w:ascii="Arial" w:hAnsi="Arial" w:cs="Arial"/>
          <w:b/>
          <w:bCs/>
          <w:sz w:val="22"/>
          <w:szCs w:val="22"/>
        </w:rPr>
        <w:t xml:space="preserve">Vous êtes le titulaire du compte ou son représentant légal: </w:t>
      </w:r>
      <w:r w:rsidRPr="00B974E2">
        <w:rPr>
          <w:rFonts w:ascii="Arial" w:hAnsi="Arial" w:cs="Arial"/>
          <w:sz w:val="22"/>
          <w:szCs w:val="22"/>
        </w:rPr>
        <w:t xml:space="preserve">Les sommes restent disponibles pendant 20 ans. Passé ce délai, les avoirs seront définitivement acquis à l’Etat. </w:t>
      </w:r>
    </w:p>
    <w:p w14:paraId="7169B8FB" w14:textId="77777777" w:rsidR="00B974E2" w:rsidRPr="00B974E2" w:rsidRDefault="00B974E2" w:rsidP="00B974E2">
      <w:pPr>
        <w:pStyle w:val="Default"/>
        <w:spacing w:after="39"/>
        <w:jc w:val="both"/>
        <w:rPr>
          <w:rFonts w:ascii="Arial" w:hAnsi="Arial" w:cs="Arial"/>
          <w:sz w:val="22"/>
          <w:szCs w:val="22"/>
        </w:rPr>
      </w:pPr>
    </w:p>
    <w:p w14:paraId="7FEA6832" w14:textId="77777777" w:rsidR="00B974E2" w:rsidRPr="00B974E2" w:rsidRDefault="00B974E2" w:rsidP="00B974E2">
      <w:pPr>
        <w:pStyle w:val="Default"/>
        <w:jc w:val="both"/>
        <w:rPr>
          <w:rFonts w:ascii="Arial" w:hAnsi="Arial" w:cs="Arial"/>
          <w:sz w:val="22"/>
          <w:szCs w:val="22"/>
        </w:rPr>
      </w:pPr>
      <w:r w:rsidRPr="00B974E2">
        <w:rPr>
          <w:rFonts w:ascii="Arial" w:hAnsi="Arial" w:cs="Arial"/>
          <w:sz w:val="22"/>
          <w:szCs w:val="22"/>
        </w:rPr>
        <w:t xml:space="preserve">2. </w:t>
      </w:r>
      <w:r w:rsidRPr="00B974E2">
        <w:rPr>
          <w:rFonts w:ascii="Arial" w:hAnsi="Arial" w:cs="Arial"/>
          <w:b/>
          <w:bCs/>
          <w:sz w:val="22"/>
          <w:szCs w:val="22"/>
        </w:rPr>
        <w:t xml:space="preserve">Vous êtes l’ayant-droit du titulaire décédé : </w:t>
      </w:r>
      <w:r w:rsidRPr="00B974E2">
        <w:rPr>
          <w:rFonts w:ascii="Arial" w:hAnsi="Arial" w:cs="Arial"/>
          <w:sz w:val="22"/>
          <w:szCs w:val="22"/>
        </w:rPr>
        <w:t xml:space="preserve">dans ce cas, la loi prévoit le transfert des fonds à la Caisse des Dépôts et Consignations après 3 ans suivant le décès sans manifestation des ayants droit. Ils y restent disponibles pendant 27 années et sont acquis à l’Etat passé ce délai. </w:t>
      </w:r>
    </w:p>
    <w:p w14:paraId="5EAC3F79" w14:textId="77777777" w:rsidR="00B974E2" w:rsidRDefault="00B974E2" w:rsidP="00B974E2">
      <w:pPr>
        <w:pStyle w:val="Default"/>
        <w:rPr>
          <w:sz w:val="22"/>
          <w:szCs w:val="22"/>
        </w:rPr>
      </w:pPr>
    </w:p>
    <w:p w14:paraId="110BE1CC" w14:textId="77777777" w:rsidR="00E322B5" w:rsidRDefault="00E322B5" w:rsidP="00B974E2">
      <w:pPr>
        <w:pStyle w:val="Default"/>
        <w:rPr>
          <w:sz w:val="22"/>
          <w:szCs w:val="22"/>
        </w:rPr>
      </w:pPr>
    </w:p>
    <w:p w14:paraId="0FE2049D" w14:textId="77777777" w:rsidR="00E322B5" w:rsidRDefault="00E322B5" w:rsidP="00B974E2">
      <w:pPr>
        <w:pStyle w:val="Default"/>
        <w:rPr>
          <w:rFonts w:ascii="Arial" w:hAnsi="Arial" w:cs="Arial"/>
          <w:b/>
          <w:color w:val="4F81BD" w:themeColor="accent1"/>
          <w:sz w:val="32"/>
          <w:szCs w:val="32"/>
        </w:rPr>
      </w:pPr>
      <w:r w:rsidRPr="00E322B5">
        <w:rPr>
          <w:rFonts w:ascii="Arial" w:hAnsi="Arial" w:cs="Arial"/>
          <w:b/>
          <w:color w:val="4F81BD" w:themeColor="accent1"/>
          <w:sz w:val="32"/>
          <w:szCs w:val="32"/>
        </w:rPr>
        <w:t>Pour en savoir plus sur le dispositif « Eckert »</w:t>
      </w:r>
    </w:p>
    <w:p w14:paraId="6CD7A2AB" w14:textId="77777777" w:rsidR="00E322B5" w:rsidRPr="00E322B5" w:rsidRDefault="00E322B5" w:rsidP="00E322B5">
      <w:pPr>
        <w:pStyle w:val="Default"/>
        <w:rPr>
          <w:rFonts w:ascii="Arial" w:hAnsi="Arial" w:cs="Arial"/>
        </w:rPr>
      </w:pPr>
    </w:p>
    <w:p w14:paraId="27887DB2" w14:textId="77777777" w:rsidR="00E322B5" w:rsidRDefault="00E322B5" w:rsidP="00E322B5">
      <w:pPr>
        <w:pStyle w:val="Default"/>
        <w:rPr>
          <w:rFonts w:ascii="Arial" w:hAnsi="Arial" w:cs="Arial"/>
        </w:rPr>
      </w:pPr>
      <w:r w:rsidRPr="00E322B5">
        <w:rPr>
          <w:rFonts w:ascii="Arial" w:hAnsi="Arial" w:cs="Arial"/>
        </w:rPr>
        <w:t>Téléchargez le mini-guide au format PDF en cliquant sur l’image ci-contr</w:t>
      </w:r>
      <w:r>
        <w:rPr>
          <w:rFonts w:ascii="Arial" w:hAnsi="Arial" w:cs="Arial"/>
        </w:rPr>
        <w:t>e.</w:t>
      </w:r>
    </w:p>
    <w:p w14:paraId="3A4AEE01" w14:textId="77777777" w:rsidR="00C75754" w:rsidRPr="00E322B5" w:rsidRDefault="00C75754" w:rsidP="00E322B5">
      <w:pPr>
        <w:pStyle w:val="Default"/>
        <w:rPr>
          <w:rFonts w:ascii="Arial" w:hAnsi="Arial" w:cs="Arial"/>
        </w:rPr>
      </w:pPr>
    </w:p>
    <w:p w14:paraId="67997C1F" w14:textId="74410714" w:rsidR="00E322B5" w:rsidRDefault="00E322B5" w:rsidP="00B974E2">
      <w:pPr>
        <w:pStyle w:val="Default"/>
        <w:rPr>
          <w:rFonts w:ascii="Arial" w:hAnsi="Arial" w:cs="Arial"/>
          <w:color w:val="auto"/>
          <w:sz w:val="22"/>
          <w:szCs w:val="22"/>
        </w:rPr>
      </w:pPr>
      <w:hyperlink r:id="rId7" w:history="1">
        <w:r w:rsidRPr="00E322B5">
          <w:rPr>
            <w:rStyle w:val="Lienhypertexte"/>
            <w:rFonts w:ascii="Arial" w:hAnsi="Arial" w:cs="Arial"/>
            <w:sz w:val="22"/>
            <w:szCs w:val="22"/>
          </w:rPr>
          <w:t>Mini Guide FBF Compte Inactif.pdf</w:t>
        </w:r>
      </w:hyperlink>
    </w:p>
    <w:p w14:paraId="063B9059" w14:textId="77777777" w:rsidR="00C75754" w:rsidRDefault="00C75754" w:rsidP="00B974E2">
      <w:pPr>
        <w:pStyle w:val="Default"/>
        <w:rPr>
          <w:rFonts w:ascii="Arial" w:hAnsi="Arial" w:cs="Arial"/>
          <w:color w:val="auto"/>
          <w:sz w:val="22"/>
          <w:szCs w:val="22"/>
        </w:rPr>
      </w:pPr>
    </w:p>
    <w:p w14:paraId="361D6D11" w14:textId="77777777" w:rsidR="00E322B5" w:rsidRPr="00E322B5" w:rsidRDefault="00E322B5" w:rsidP="00B974E2">
      <w:pPr>
        <w:pStyle w:val="Default"/>
        <w:rPr>
          <w:rFonts w:ascii="Arial" w:hAnsi="Arial" w:cs="Arial"/>
          <w:color w:val="auto"/>
          <w:sz w:val="22"/>
          <w:szCs w:val="22"/>
        </w:rPr>
      </w:pPr>
    </w:p>
    <w:sectPr w:rsidR="00E322B5" w:rsidRPr="00E322B5" w:rsidSect="00C06C9D">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62343"/>
    <w:multiLevelType w:val="hybridMultilevel"/>
    <w:tmpl w:val="C5D889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58822D1"/>
    <w:multiLevelType w:val="hybridMultilevel"/>
    <w:tmpl w:val="1CDC6ABC"/>
    <w:lvl w:ilvl="0" w:tplc="7E2AA36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54606">
    <w:abstractNumId w:val="0"/>
  </w:num>
  <w:num w:numId="2" w16cid:durableId="687370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C9D"/>
    <w:rsid w:val="000E3F93"/>
    <w:rsid w:val="00367A2A"/>
    <w:rsid w:val="006B1B0E"/>
    <w:rsid w:val="006D7DD1"/>
    <w:rsid w:val="009364BD"/>
    <w:rsid w:val="00A0771D"/>
    <w:rsid w:val="00A37ADA"/>
    <w:rsid w:val="00AB02E0"/>
    <w:rsid w:val="00B459C4"/>
    <w:rsid w:val="00B974E2"/>
    <w:rsid w:val="00C06C9D"/>
    <w:rsid w:val="00C75754"/>
    <w:rsid w:val="00D70CA6"/>
    <w:rsid w:val="00E322B5"/>
    <w:rsid w:val="00FA27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099B9"/>
  <w15:docId w15:val="{E83AA47C-3892-47B9-90EB-155568A8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F9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06C9D"/>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C06C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6C9D"/>
    <w:rPr>
      <w:rFonts w:ascii="Tahoma" w:hAnsi="Tahoma" w:cs="Tahoma"/>
      <w:sz w:val="16"/>
      <w:szCs w:val="16"/>
    </w:rPr>
  </w:style>
  <w:style w:type="paragraph" w:styleId="Paragraphedeliste">
    <w:name w:val="List Paragraph"/>
    <w:basedOn w:val="Normal"/>
    <w:uiPriority w:val="34"/>
    <w:qFormat/>
    <w:rsid w:val="00B974E2"/>
    <w:pPr>
      <w:ind w:left="720"/>
      <w:contextualSpacing/>
    </w:pPr>
  </w:style>
  <w:style w:type="character" w:styleId="Lienhypertexte">
    <w:name w:val="Hyperlink"/>
    <w:basedOn w:val="Policepardfaut"/>
    <w:uiPriority w:val="99"/>
    <w:unhideWhenUsed/>
    <w:rsid w:val="00E322B5"/>
    <w:rPr>
      <w:color w:val="0000FF" w:themeColor="hyperlink"/>
      <w:u w:val="single"/>
    </w:rPr>
  </w:style>
  <w:style w:type="character" w:styleId="Lienhypertextesuivivisit">
    <w:name w:val="FollowedHyperlink"/>
    <w:basedOn w:val="Policepardfaut"/>
    <w:uiPriority w:val="99"/>
    <w:semiHidden/>
    <w:unhideWhenUsed/>
    <w:rsid w:val="00C757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OJEER\AppData\Local\Microsoft\Windows\INetCache\Content.Outlook\VZ22AZ7F\Mini%20Guide%20FBF%20Compte%20Inacti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5372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TERRIER</dc:creator>
  <cp:lastModifiedBy>Sofyan OJEER</cp:lastModifiedBy>
  <cp:revision>2</cp:revision>
  <dcterms:created xsi:type="dcterms:W3CDTF">2025-12-19T14:48:00Z</dcterms:created>
  <dcterms:modified xsi:type="dcterms:W3CDTF">2025-12-19T14:48:00Z</dcterms:modified>
</cp:coreProperties>
</file>